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3D7CBDD5" w:rsidR="007E5CA0" w:rsidRPr="003C75D1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51464F" w:rsidRPr="00E37DA0">
        <w:rPr>
          <w:rStyle w:val="Strong"/>
          <w:rFonts w:cs="Arial"/>
          <w:sz w:val="20"/>
          <w:szCs w:val="20"/>
          <w:lang w:val="ru-RU"/>
        </w:rPr>
        <w:t>22 сентября 2020</w:t>
      </w:r>
      <w:r w:rsidR="0051464F" w:rsidRPr="0051464F">
        <w:rPr>
          <w:rStyle w:val="Strong"/>
          <w:rFonts w:cs="Arial"/>
          <w:sz w:val="20"/>
          <w:szCs w:val="20"/>
          <w:lang w:val="fr-BE"/>
        </w:rPr>
        <w:t> </w:t>
      </w:r>
      <w:r w:rsidR="0051464F" w:rsidRPr="00E37DA0">
        <w:rPr>
          <w:rStyle w:val="Strong"/>
          <w:rFonts w:cs="Arial"/>
          <w:sz w:val="20"/>
          <w:szCs w:val="20"/>
          <w:lang w:val="ru-RU"/>
        </w:rPr>
        <w:t>г.</w:t>
      </w: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01FD2ED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107D9101" w14:textId="77777777" w:rsidR="004D73A8" w:rsidRPr="004D73A8" w:rsidRDefault="004D73A8" w:rsidP="004D73A8">
      <w:pPr>
        <w:rPr>
          <w:rFonts w:eastAsia="Arial" w:cs="Arial"/>
          <w:b/>
          <w:bCs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b/>
          <w:bCs/>
          <w:color w:val="2C2C2C" w:themeColor="text1" w:themeShade="80"/>
          <w:sz w:val="20"/>
          <w:szCs w:val="20"/>
          <w:lang w:val="ru-RU" w:eastAsia="ru-RU"/>
        </w:rPr>
        <w:t xml:space="preserve">Три поколения системы </w:t>
      </w:r>
      <w:r w:rsidRPr="004D73A8">
        <w:rPr>
          <w:rFonts w:eastAsia="Arial" w:cs="Arial"/>
          <w:b/>
          <w:bCs/>
          <w:color w:val="2C2C2C" w:themeColor="text1" w:themeShade="80"/>
          <w:sz w:val="20"/>
          <w:szCs w:val="20"/>
          <w:lang w:eastAsia="ru-RU"/>
        </w:rPr>
        <w:t>POWER</w:t>
      </w:r>
      <w:r w:rsidRPr="004D73A8">
        <w:rPr>
          <w:rFonts w:eastAsia="Arial" w:cs="Arial"/>
          <w:b/>
          <w:bCs/>
          <w:color w:val="2C2C2C" w:themeColor="text1" w:themeShade="80"/>
          <w:sz w:val="20"/>
          <w:szCs w:val="20"/>
          <w:lang w:val="ru-RU" w:eastAsia="ru-RU"/>
        </w:rPr>
        <w:t xml:space="preserve"> </w:t>
      </w:r>
      <w:r w:rsidRPr="004D73A8">
        <w:rPr>
          <w:rFonts w:eastAsia="Arial" w:cs="Arial"/>
          <w:b/>
          <w:bCs/>
          <w:color w:val="2C2C2C" w:themeColor="text1" w:themeShade="80"/>
          <w:sz w:val="20"/>
          <w:szCs w:val="20"/>
          <w:lang w:eastAsia="ru-RU"/>
        </w:rPr>
        <w:t>REGISTER</w:t>
      </w:r>
      <w:r w:rsidRPr="004D73A8">
        <w:rPr>
          <w:rFonts w:eastAsia="Arial" w:cs="Arial"/>
          <w:b/>
          <w:bCs/>
          <w:color w:val="2C2C2C" w:themeColor="text1" w:themeShade="80"/>
          <w:sz w:val="20"/>
          <w:szCs w:val="20"/>
          <w:lang w:val="ru-RU" w:eastAsia="ru-RU"/>
        </w:rPr>
        <w:t xml:space="preserve"> демонстрируют 20</w:t>
      </w:r>
      <w:r w:rsidRPr="004D73A8">
        <w:rPr>
          <w:rFonts w:eastAsia="Arial" w:cs="Arial"/>
          <w:b/>
          <w:bCs/>
          <w:color w:val="2C2C2C" w:themeColor="text1" w:themeShade="80"/>
          <w:sz w:val="20"/>
          <w:szCs w:val="20"/>
          <w:lang w:eastAsia="ru-RU"/>
        </w:rPr>
        <w:t> </w:t>
      </w:r>
      <w:r w:rsidRPr="004D73A8">
        <w:rPr>
          <w:rFonts w:eastAsia="Arial" w:cs="Arial"/>
          <w:b/>
          <w:bCs/>
          <w:color w:val="2C2C2C" w:themeColor="text1" w:themeShade="80"/>
          <w:sz w:val="20"/>
          <w:szCs w:val="20"/>
          <w:lang w:val="ru-RU" w:eastAsia="ru-RU"/>
        </w:rPr>
        <w:t xml:space="preserve">лет инновационного развития </w:t>
      </w:r>
      <w:r w:rsidRPr="004D73A8">
        <w:rPr>
          <w:rFonts w:eastAsia="Arial" w:cs="Arial"/>
          <w:b/>
          <w:bCs/>
          <w:color w:val="2C2C2C" w:themeColor="text1" w:themeShade="80"/>
          <w:sz w:val="20"/>
          <w:szCs w:val="20"/>
          <w:lang w:eastAsia="ru-RU"/>
        </w:rPr>
        <w:t>BOBST</w:t>
      </w:r>
    </w:p>
    <w:p w14:paraId="3C3097A0" w14:textId="77777777" w:rsidR="004D73A8" w:rsidRPr="004D73A8" w:rsidRDefault="004D73A8" w:rsidP="004D73A8">
      <w:pPr>
        <w:rPr>
          <w:rFonts w:eastAsia="Arial" w:cs="Arial"/>
          <w:b/>
          <w:bCs/>
          <w:color w:val="2C2C2C" w:themeColor="text1" w:themeShade="80"/>
          <w:sz w:val="20"/>
          <w:szCs w:val="20"/>
          <w:lang w:val="ru-RU" w:eastAsia="en-GB"/>
        </w:rPr>
      </w:pPr>
    </w:p>
    <w:p w14:paraId="2F359ACF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>Прошло 20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 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лет с тех пор, как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BOBST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представила свою систему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POWER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REGISTER</w:t>
      </w:r>
      <w:r w:rsidRPr="004D73A8">
        <w:rPr>
          <w:rFonts w:eastAsia="Arial" w:cs="Arial"/>
          <w:color w:val="2C2C2C" w:themeColor="text1" w:themeShade="80"/>
          <w:sz w:val="20"/>
          <w:szCs w:val="20"/>
          <w:vertAlign w:val="superscript"/>
          <w:lang w:val="ru-RU" w:eastAsia="ru-RU"/>
        </w:rPr>
        <w:t>®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в упаковочной отрасли.</w:t>
      </w:r>
    </w:p>
    <w:p w14:paraId="3680CE31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</w:p>
    <w:p w14:paraId="06730339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Бесконтактная система подачи листов стала первой в своем роде и до сих пор остается уникальной по своим возможностям. Система была неотъемлемой частью пресса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SPRINTERA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106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и предназначалась для точного позиционирования отпечатанных листов перед высечкой, обеспечивая превосходную приводку резки по печати для получения продукции высочайшего качества.</w:t>
      </w:r>
    </w:p>
    <w:p w14:paraId="054F57E2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</w:p>
    <w:p w14:paraId="4FEB3917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Благодаря сокращению времени настройки и устранению остановок, связанных с подачей, система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POWER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REGISTER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значительно повышала производительность и пропускную способность производственных линий заказчиков.</w:t>
      </w:r>
    </w:p>
    <w:p w14:paraId="0DFA05D8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</w:p>
    <w:p w14:paraId="4BBEE4D1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На протяжении последних двух десятилетий продолжалось постоянное развитие первоначальных функций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POWER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REGISTER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>, включая поперечную корректировку пачки, поперечную и продольную корректировку обработанных листов для приводки, распознавание слипшихся листов и автоматическую синхронизацию подачи листов, а также в систему были добавлены новые технологии.</w:t>
      </w:r>
    </w:p>
    <w:p w14:paraId="755D0C5A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</w:p>
    <w:p w14:paraId="0DAFBE27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>Бодо Юнге (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Bodo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  <w:proofErr w:type="spellStart"/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Junge</w:t>
      </w:r>
      <w:proofErr w:type="spellEnd"/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), директор по товарному маркетингу подразделения картонной упаковки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BOBST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, сказал: «Мы всегда стремились помогать заказчикам оптимизировать производство с точки зрения производительности, эффективности и сокращения объема отходов. Впервые представив систему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POWER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REGISTER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20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 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лет назад, компания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BOBST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опередила свое время, и по сей день благодаря этому стремлению система остается непревзойденной технологией, которая обеспечивает нашим заказчикам серьезное конкурентное преимущество».</w:t>
      </w:r>
    </w:p>
    <w:p w14:paraId="2A1E8F8C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</w:p>
    <w:p w14:paraId="7175BC3B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>В 2012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 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году была представлена система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POWER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REGISTER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II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>, которая не только имела более простую систему настройки, но и могла обрабатывать более широкий спектр подложек, включая прозрачные, черные, металлизированные и лакированные материалы. Размещение заданий стало более гиибким, позволив выполнять приводку листов, используя край листа, специально напечатанные передние и боковые метки приводки или сам отпечаток.</w:t>
      </w:r>
    </w:p>
    <w:p w14:paraId="4CC3237C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</w:p>
    <w:p w14:paraId="75353638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>Инновационная система приводки по печати на нижней стороне листа позволяет операторам обрабатывать кашированные изделия с микрогофрой, обеспечивая превосходные качество и точность. Биговка листов с обратной стороны не только повышает качество самой заготовки, но и упрощает дальнейшую обработку, например, фальцовку и склейку для повышения эффективности линии.</w:t>
      </w:r>
    </w:p>
    <w:p w14:paraId="156DEAF2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</w:p>
    <w:p w14:paraId="34DB0F45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lastRenderedPageBreak/>
        <w:t xml:space="preserve">На выставке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Drupa 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2016 компания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BOBST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представила третье поколение системы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POWER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REGISTER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в плосковысекальном прессе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MASTERCUT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106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. Благодаря более высокому уровню автоматизации и способности обрабатывать все материалы на полной скорости без снижения качества эта система обеспечивает выдающуюся точность и производительность для упаковочной отрасли. </w:t>
      </w:r>
      <w:r w:rsidRPr="004D73A8"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val="ru-RU" w:eastAsia="ru-RU"/>
        </w:rPr>
        <w:t>Последняя версия имеет расширенный на 65</w:t>
      </w:r>
      <w:r w:rsidRPr="004D73A8"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eastAsia="ru-RU"/>
        </w:rPr>
        <w:t> </w:t>
      </w:r>
      <w:r w:rsidRPr="004D73A8"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val="ru-RU" w:eastAsia="ru-RU"/>
        </w:rPr>
        <w:t>% диапазон коррекции на переднем крае листа, что сокращает остановки на 80</w:t>
      </w:r>
      <w:r w:rsidRPr="004D73A8"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eastAsia="ru-RU"/>
        </w:rPr>
        <w:t> </w:t>
      </w:r>
      <w:r w:rsidRPr="004D73A8"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val="ru-RU" w:eastAsia="ru-RU"/>
        </w:rPr>
        <w:t>%, и гарантирует полное отсутствие контакта с краем листа.</w:t>
      </w:r>
    </w:p>
    <w:p w14:paraId="52E59D3C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val="ru-RU" w:eastAsia="en-GB"/>
        </w:rPr>
      </w:pPr>
    </w:p>
    <w:p w14:paraId="4DCDF876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val="ru-RU" w:eastAsia="ru-RU"/>
        </w:rPr>
        <w:t xml:space="preserve">В настоящее время все системы </w:t>
      </w:r>
      <w:r w:rsidRPr="004D73A8"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eastAsia="ru-RU"/>
        </w:rPr>
        <w:t>POWER</w:t>
      </w:r>
      <w:r w:rsidRPr="004D73A8"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val="ru-RU" w:eastAsia="ru-RU"/>
        </w:rPr>
        <w:t xml:space="preserve"> </w:t>
      </w:r>
      <w:r w:rsidRPr="004D73A8"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eastAsia="ru-RU"/>
        </w:rPr>
        <w:t>REGISTER</w:t>
      </w:r>
      <w:r w:rsidRPr="004D73A8">
        <w:rPr>
          <w:rFonts w:eastAsia="Arial" w:cs="Arial"/>
          <w:color w:val="2C2C2C" w:themeColor="text1" w:themeShade="80"/>
          <w:sz w:val="20"/>
          <w:szCs w:val="20"/>
          <w:shd w:val="clear" w:color="auto" w:fill="FFFFFF"/>
          <w:lang w:val="ru-RU" w:eastAsia="ru-RU"/>
        </w:rPr>
        <w:t xml:space="preserve"> имеют функцию самообучения, которая автоматически калибрует камеры в соответствии с отпечатанным листом. Это устраняет возможные человеческие ошибки и ускоряет настройку, в то же время облегчая процесс переналадки для оператора. 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>Как и ее предшественник, система имеет дополнительный компонент нижней приводки для улучшенной обработки кашированных листов.</w:t>
      </w:r>
    </w:p>
    <w:p w14:paraId="71C1B5C2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</w:p>
    <w:p w14:paraId="2F66CD16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Система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POWER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REGISTER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доступна в линейке высекальных прессов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BOBST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, включая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MASTERCUT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106/145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,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EXPERTCUT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106/145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и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VISIONCUT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106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PE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/145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, а также в прессе горячего тиснения фольгой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MASTERFOIL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106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>.</w:t>
      </w:r>
    </w:p>
    <w:p w14:paraId="15D69757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</w:p>
    <w:p w14:paraId="6478AFFB" w14:textId="77777777" w:rsidR="004D73A8" w:rsidRPr="004D73A8" w:rsidRDefault="004D73A8" w:rsidP="004D73A8">
      <w:pPr>
        <w:spacing w:line="276" w:lineRule="auto"/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Бодо Юнге добавил: «Система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POWER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REGISTER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приносит неоспоримую пользу производителям по всему миру, оставаясь гордостью </w:t>
      </w:r>
      <w:r w:rsidRPr="004D73A8">
        <w:rPr>
          <w:rFonts w:eastAsia="Arial" w:cs="Arial"/>
          <w:color w:val="2C2C2C" w:themeColor="text1" w:themeShade="80"/>
          <w:sz w:val="20"/>
          <w:szCs w:val="20"/>
          <w:lang w:eastAsia="ru-RU"/>
        </w:rPr>
        <w:t>BOBST</w:t>
      </w:r>
      <w:r w:rsidRPr="004D73A8">
        <w:rPr>
          <w:rFonts w:eastAsia="Arial" w:cs="Arial"/>
          <w:color w:val="2C2C2C" w:themeColor="text1" w:themeShade="80"/>
          <w:sz w:val="20"/>
          <w:szCs w:val="20"/>
          <w:lang w:val="ru-RU" w:eastAsia="ru-RU"/>
        </w:rPr>
        <w:t xml:space="preserve"> и сохраняя статус инновационного решения, меняющего положение дел в отрасли. Эта высокотехнологичная и интеллектуальная система обеспечивает непревзойденное качество и точность при высочайшем уровне производительности».</w:t>
      </w:r>
    </w:p>
    <w:p w14:paraId="0504260D" w14:textId="77777777" w:rsidR="004D73A8" w:rsidRPr="004D73A8" w:rsidRDefault="004D73A8" w:rsidP="004D73A8">
      <w:pPr>
        <w:rPr>
          <w:rFonts w:eastAsia="Arial" w:cs="Arial"/>
          <w:color w:val="2C2C2C" w:themeColor="text1" w:themeShade="80"/>
          <w:sz w:val="20"/>
          <w:szCs w:val="20"/>
          <w:lang w:val="ru-RU" w:eastAsia="en-GB"/>
        </w:rPr>
      </w:pPr>
    </w:p>
    <w:p w14:paraId="65AF7E1F" w14:textId="77777777" w:rsidR="00E37DA0" w:rsidRDefault="00E37DA0" w:rsidP="00E37DA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</w:p>
    <w:p w14:paraId="2DF8B1DC" w14:textId="028FE777" w:rsidR="005E60FA" w:rsidRPr="004D73A8" w:rsidRDefault="005E60FA" w:rsidP="00E37DA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E37DA0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</w:p>
    <w:p w14:paraId="728685C8" w14:textId="77777777" w:rsidR="00F70DEB" w:rsidRPr="00F70DEB" w:rsidRDefault="00F70DEB" w:rsidP="00E37DA0">
      <w:pPr>
        <w:shd w:val="clear" w:color="auto" w:fill="FFFFFF"/>
        <w:spacing w:line="240" w:lineRule="auto"/>
        <w:rPr>
          <w:rFonts w:cs="Arial"/>
          <w:bCs/>
          <w:szCs w:val="19"/>
          <w:lang w:val="ru-RU"/>
        </w:rPr>
      </w:pPr>
      <w:r w:rsidRPr="00F70DEB">
        <w:rPr>
          <w:rFonts w:cs="Arial"/>
          <w:bCs/>
          <w:szCs w:val="19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2DC72F09" w14:textId="77777777" w:rsidR="00F70DEB" w:rsidRPr="00F70DEB" w:rsidRDefault="00F70DEB" w:rsidP="00E37DA0">
      <w:pPr>
        <w:shd w:val="clear" w:color="auto" w:fill="FFFFFF"/>
        <w:spacing w:line="240" w:lineRule="auto"/>
        <w:rPr>
          <w:rFonts w:cs="Arial"/>
          <w:bCs/>
          <w:szCs w:val="19"/>
          <w:lang w:val="ru-RU"/>
        </w:rPr>
      </w:pPr>
    </w:p>
    <w:p w14:paraId="04F355D1" w14:textId="4D643CF8" w:rsidR="005E60FA" w:rsidRPr="004216BF" w:rsidRDefault="00F70DEB" w:rsidP="00E37DA0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  <w:r w:rsidRPr="00F70DEB">
        <w:rPr>
          <w:rFonts w:cs="Arial"/>
          <w:bCs/>
          <w:szCs w:val="19"/>
          <w:lang w:val="ru-RU"/>
        </w:rPr>
        <w:t>Основанная Йозефом Бобстом в 1890 году в Лозанне (Швейцария), компания BOBST представлена более чем в 50 странах, имеет 15 производственных площадок в 8 странах мира и штат более 5 500 сотрудников. На 31 декабря 2019 года компания показала консолидированный оборот в размере 1 636 миллионов швейцарских франков.</w:t>
      </w:r>
    </w:p>
    <w:p w14:paraId="062FF59E" w14:textId="77777777" w:rsidR="005E60FA" w:rsidRPr="004216BF" w:rsidRDefault="005E60FA" w:rsidP="00E37DA0">
      <w:pPr>
        <w:shd w:val="clear" w:color="auto" w:fill="FFFFFF"/>
        <w:spacing w:line="240" w:lineRule="auto"/>
        <w:rPr>
          <w:rFonts w:cs="Arial"/>
          <w:szCs w:val="19"/>
          <w:lang w:val="ru-RU" w:eastAsia="fr-FR"/>
        </w:rPr>
      </w:pPr>
    </w:p>
    <w:p w14:paraId="78EE54D5" w14:textId="77777777" w:rsidR="003D57C4" w:rsidRDefault="005E60FA" w:rsidP="00E37DA0">
      <w:pPr>
        <w:spacing w:line="240" w:lineRule="auto"/>
        <w:rPr>
          <w:rFonts w:cs="Arial"/>
          <w:b/>
          <w:szCs w:val="19"/>
          <w:lang w:val="fr-BE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4216BF">
        <w:rPr>
          <w:rFonts w:cs="Arial"/>
          <w:b/>
          <w:szCs w:val="19"/>
          <w:lang w:val="fr-BE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4216BF">
        <w:rPr>
          <w:rFonts w:cs="Arial"/>
          <w:b/>
          <w:szCs w:val="19"/>
          <w:lang w:val="fr-BE"/>
        </w:rPr>
        <w:t>:</w:t>
      </w:r>
    </w:p>
    <w:p w14:paraId="6A39768C" w14:textId="77777777" w:rsidR="00DD519E" w:rsidRPr="004216BF" w:rsidRDefault="00DD519E" w:rsidP="00E37DA0">
      <w:pPr>
        <w:spacing w:line="240" w:lineRule="auto"/>
        <w:rPr>
          <w:rFonts w:cs="Arial"/>
          <w:b/>
          <w:szCs w:val="19"/>
          <w:lang w:val="fr-BE"/>
        </w:rPr>
      </w:pPr>
    </w:p>
    <w:p w14:paraId="3985CCC6" w14:textId="77777777" w:rsidR="003D57C4" w:rsidRPr="004216BF" w:rsidRDefault="003D57C4" w:rsidP="00E37DA0">
      <w:pPr>
        <w:spacing w:line="240" w:lineRule="auto"/>
        <w:rPr>
          <w:rFonts w:cs="Arial"/>
          <w:szCs w:val="19"/>
          <w:lang w:val="fr-BE" w:eastAsia="zh-CN"/>
        </w:rPr>
      </w:pPr>
      <w:r w:rsidRPr="004216BF">
        <w:rPr>
          <w:rFonts w:cs="Arial"/>
          <w:szCs w:val="19"/>
          <w:lang w:val="fr-BE" w:eastAsia="zh-CN"/>
        </w:rPr>
        <w:t>Gudrun Alex</w:t>
      </w:r>
      <w:r w:rsidRPr="004216BF">
        <w:rPr>
          <w:rFonts w:cs="Arial"/>
          <w:szCs w:val="19"/>
          <w:lang w:val="fr-BE" w:eastAsia="zh-CN"/>
        </w:rPr>
        <w:br/>
        <w:t xml:space="preserve">BOBST PR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E37DA0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E37DA0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E37DA0">
      <w:pPr>
        <w:spacing w:line="240" w:lineRule="auto"/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385498D" w:rsidR="003D57C4" w:rsidRDefault="003D57C4" w:rsidP="00E37DA0">
      <w:pPr>
        <w:spacing w:line="240" w:lineRule="auto"/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E37D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E37D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E37D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810D" w14:textId="77777777" w:rsidR="00B54291" w:rsidRDefault="00B54291" w:rsidP="00BB5BE9">
      <w:pPr>
        <w:spacing w:line="240" w:lineRule="auto"/>
      </w:pPr>
      <w:r>
        <w:separator/>
      </w:r>
    </w:p>
  </w:endnote>
  <w:endnote w:type="continuationSeparator" w:id="0">
    <w:p w14:paraId="750F9B64" w14:textId="77777777" w:rsidR="00B54291" w:rsidRDefault="00B54291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E37DA0" w:rsidRDefault="00B444AA" w:rsidP="00F36CF1">
    <w:pPr>
      <w:pStyle w:val="LegalFooter"/>
      <w:rPr>
        <w:lang w:val="en-US"/>
      </w:rPr>
    </w:pPr>
    <w:r w:rsidRPr="00B444AA">
      <w:t>ПРЕСС</w:t>
    </w:r>
    <w:r w:rsidRPr="00E37DA0">
      <w:rPr>
        <w:lang w:val="en-US"/>
      </w:rPr>
      <w:t>-</w:t>
    </w:r>
    <w:r w:rsidRPr="00B444AA">
      <w:t>РЕЛИЗ</w:t>
    </w:r>
    <w:r w:rsidRPr="00E37DA0">
      <w:rPr>
        <w:lang w:val="en-US"/>
      </w:rPr>
      <w:t xml:space="preserve"> | [Publish Date]</w:t>
    </w:r>
    <w:r w:rsidR="00F36CF1" w:rsidRPr="00E37DA0">
      <w:rPr>
        <w:lang w:val="en-US"/>
      </w:rPr>
      <w:t xml:space="preserve"> | </w:t>
    </w:r>
    <w:sdt>
      <w:sdtPr>
        <w:tag w:val="T_Page"/>
        <w:id w:val="209380030"/>
      </w:sdtPr>
      <w:sdtEndPr/>
      <w:sdtContent>
        <w:r w:rsidR="005D389A" w:rsidRPr="00E37DA0">
          <w:rPr>
            <w:lang w:val="en-US"/>
          </w:rPr>
          <w:t>Page</w:t>
        </w:r>
      </w:sdtContent>
    </w:sdt>
    <w:r w:rsidR="00F36CF1" w:rsidRPr="00E37DA0">
      <w:rPr>
        <w:lang w:val="en-US"/>
      </w:rPr>
      <w:t xml:space="preserve"> </w:t>
    </w:r>
    <w:r w:rsidR="00F36CF1" w:rsidRPr="005D389A">
      <w:fldChar w:fldCharType="begin"/>
    </w:r>
    <w:r w:rsidR="00F36CF1" w:rsidRPr="00E37DA0">
      <w:rPr>
        <w:lang w:val="en-US"/>
      </w:rPr>
      <w:instrText xml:space="preserve"> PAGE   \* MERGEFORMAT </w:instrText>
    </w:r>
    <w:r w:rsidR="00F36CF1" w:rsidRPr="005D389A">
      <w:fldChar w:fldCharType="separate"/>
    </w:r>
    <w:r w:rsidR="00332116" w:rsidRPr="00E37DA0">
      <w:rPr>
        <w:noProof/>
        <w:lang w:val="en-US"/>
      </w:rPr>
      <w:t>1</w:t>
    </w:r>
    <w:r w:rsidR="00F36CF1" w:rsidRPr="005D389A">
      <w:fldChar w:fldCharType="end"/>
    </w:r>
    <w:r w:rsidR="00F36CF1" w:rsidRPr="00E37DA0">
      <w:rPr>
        <w:lang w:val="en-US"/>
      </w:rPr>
      <w:t xml:space="preserve"> </w:t>
    </w:r>
    <w:sdt>
      <w:sdtPr>
        <w:tag w:val="T_PageOf"/>
        <w:id w:val="232359844"/>
      </w:sdtPr>
      <w:sdtEndPr/>
      <w:sdtContent>
        <w:r w:rsidR="005D389A" w:rsidRPr="00E37DA0">
          <w:rPr>
            <w:lang w:val="en-US"/>
          </w:rPr>
          <w:t>of</w:t>
        </w:r>
      </w:sdtContent>
    </w:sdt>
    <w:r w:rsidR="00F36CF1" w:rsidRPr="00E37DA0">
      <w:rPr>
        <w:lang w:val="en-US"/>
      </w:rPr>
      <w:t xml:space="preserve"> </w:t>
    </w:r>
    <w:r w:rsidR="00563484">
      <w:fldChar w:fldCharType="begin"/>
    </w:r>
    <w:r w:rsidR="00563484" w:rsidRPr="00E37DA0">
      <w:rPr>
        <w:lang w:val="en-US"/>
      </w:rPr>
      <w:instrText xml:space="preserve"> NUMPAGES   \* MERGEFORMAT </w:instrText>
    </w:r>
    <w:r w:rsidR="00563484">
      <w:fldChar w:fldCharType="separate"/>
    </w:r>
    <w:r w:rsidR="00332116" w:rsidRPr="00E37DA0">
      <w:rPr>
        <w:noProof/>
        <w:lang w:val="en-US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E37DA0" w:rsidRDefault="005D389A" w:rsidP="00F36CF1">
        <w:pPr>
          <w:pStyle w:val="LegalFooter1"/>
          <w:rPr>
            <w:lang w:val="en-US"/>
          </w:rPr>
        </w:pPr>
        <w:r w:rsidRPr="00E37DA0">
          <w:rPr>
            <w:lang w:val="en-US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E37DA0" w:rsidRDefault="005D389A" w:rsidP="00F36CF1">
        <w:pPr>
          <w:pStyle w:val="LegalFooter2"/>
          <w:rPr>
            <w:lang w:val="en-US"/>
          </w:rPr>
        </w:pPr>
        <w:r w:rsidRPr="00E37DA0">
          <w:rPr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12E7" w14:textId="77777777" w:rsidR="00B54291" w:rsidRDefault="00B54291" w:rsidP="00BB5BE9">
      <w:pPr>
        <w:spacing w:line="240" w:lineRule="auto"/>
      </w:pPr>
      <w:r>
        <w:separator/>
      </w:r>
    </w:p>
  </w:footnote>
  <w:footnote w:type="continuationSeparator" w:id="0">
    <w:p w14:paraId="2884E5D3" w14:textId="77777777" w:rsidR="00B54291" w:rsidRDefault="00B54291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E37DA0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E37DA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D73A8"/>
    <w:rsid w:val="004F3549"/>
    <w:rsid w:val="004F66FC"/>
    <w:rsid w:val="0051464F"/>
    <w:rsid w:val="00546823"/>
    <w:rsid w:val="00563484"/>
    <w:rsid w:val="005A48B2"/>
    <w:rsid w:val="005B778B"/>
    <w:rsid w:val="005D389A"/>
    <w:rsid w:val="005E60FA"/>
    <w:rsid w:val="00692DB6"/>
    <w:rsid w:val="006A45F6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F1542"/>
    <w:rsid w:val="00B10389"/>
    <w:rsid w:val="00B444AA"/>
    <w:rsid w:val="00B54291"/>
    <w:rsid w:val="00BA4F19"/>
    <w:rsid w:val="00BB5BE9"/>
    <w:rsid w:val="00C20D00"/>
    <w:rsid w:val="00CC7F9D"/>
    <w:rsid w:val="00DB1DC2"/>
    <w:rsid w:val="00DD519E"/>
    <w:rsid w:val="00DD7F07"/>
    <w:rsid w:val="00DE5DD2"/>
    <w:rsid w:val="00E37DA0"/>
    <w:rsid w:val="00F03D8B"/>
    <w:rsid w:val="00F36CF1"/>
    <w:rsid w:val="00F552C0"/>
    <w:rsid w:val="00F70DE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</Template>
  <TotalTime>7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4</cp:revision>
  <cp:lastPrinted>2015-02-06T09:00:00Z</cp:lastPrinted>
  <dcterms:created xsi:type="dcterms:W3CDTF">2020-09-18T06:42:00Z</dcterms:created>
  <dcterms:modified xsi:type="dcterms:W3CDTF">2020-09-22T09:16:00Z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